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 xml:space="preserve">решением конкурсной комиссии </w:t>
      </w:r>
    </w:p>
    <w:p>
      <w:pPr>
        <w:pStyle w:val="Normal"/>
        <w:ind w:left="5387" w:hanging="0"/>
        <w:rPr/>
      </w:pPr>
      <w:r>
        <w:rPr>
          <w:sz w:val="24"/>
          <w:szCs w:val="24"/>
        </w:rPr>
        <w:t>по отбору лучших учителей</w:t>
        <w:br/>
        <w:t>от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.04.201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 № 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  <w:t xml:space="preserve">КОНКУРС НА ПОЛУЧЕНИЕ  ДЕНЕЖНОГО ПООЩРЕНИЯ ЛУЧШИМИ УЧИТЕЛЯМИ  </w:t>
      </w:r>
    </w:p>
    <w:p>
      <w:pPr>
        <w:pStyle w:val="Normal"/>
        <w:numPr>
          <w:ilvl w:val="0"/>
          <w:numId w:val="0"/>
        </w:numPr>
        <w:tabs>
          <w:tab w:val="left" w:pos="4365" w:leader="none"/>
          <w:tab w:val="center" w:pos="5286" w:leader="none"/>
        </w:tabs>
        <w:spacing w:lineRule="auto" w:line="288"/>
        <w:jc w:val="center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4365" w:leader="none"/>
          <w:tab w:val="center" w:pos="5286" w:leader="none"/>
        </w:tabs>
        <w:spacing w:lineRule="auto" w:line="288"/>
        <w:jc w:val="center"/>
        <w:outlineLvl w:val="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Еврейская автономная область </w:t>
      </w:r>
    </w:p>
    <w:p>
      <w:pPr>
        <w:pStyle w:val="Normal"/>
        <w:ind w:left="708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Критерии и оценочные показатели конкурса на получение денежного поощрения лучшими учителями  образовательных организаций   Еврейской автономной области в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</w:p>
    <w:p>
      <w:pPr>
        <w:pStyle w:val="Normal"/>
        <w:ind w:left="99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3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212"/>
        <w:gridCol w:w="6724"/>
      </w:tblGrid>
      <w:tr>
        <w:trPr/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Критерии отбора</w:t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>
            <w:pPr>
              <w:pStyle w:val="Normal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– 10</w:t>
            </w:r>
          </w:p>
          <w:p>
            <w:pPr>
              <w:pStyle w:val="Normal"/>
              <w:spacing w:before="12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 –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уровня/федерального уровня –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Систематическая работа по распространению собственного педагогического опыта на уровне не ниже муниципального – от 0 до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Участие в работе сетевых профессиональных сообществ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уровня/федерального уровня –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sz w:val="24"/>
                <w:szCs w:val="24"/>
              </w:rPr>
              <w:t>2. Высокие результаты учебных достижений обучающихся при их позитивной динамике за последние три года</w:t>
            </w:r>
          </w:p>
          <w:p>
            <w:pPr>
              <w:pStyle w:val="Normal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- 10</w:t>
            </w:r>
          </w:p>
          <w:p>
            <w:pPr>
              <w:pStyle w:val="Normal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Наличие позитивной динамики внутришкольного мониторинга успеваемости за три года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Доля обучающихся на «4» и «5»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(средний показатель за три года):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превышает 40 %  –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превышает 50 %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превышает 60 % –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Число обучающихся, принявших участие  в различных этапах Всероссийской олимпиады школьников/победителей различных этапов Всероссийской олимпиады школьников: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 – от 0,5 б. до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региональный этап – от 1 б. до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заключительный этап – от 2 б. до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Реализация программы углубленного изучения отдельных предметов – до 2 б. 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sz w:val="24"/>
                <w:szCs w:val="24"/>
              </w:rPr>
              <w:t>3. Высокие результаты внеурочной деятельности обучающихся по учебному предмету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Максимальное количество баллов - 10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Проведение факультатива, кружка, секции, клуба и других форм внеурочной деятельности в соответствии  с утвержденной программой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Охват учащихся внеурочной деятельностью: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более 30 % – 2 б;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более 50 % –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Результаты внеурочной деятельности (творческие работы учащихся, участие в конференциях, конкурсах, спортивных соревнованиях, выставках творческих работ учащихся) за последние три года: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 – 4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межрегионального и (или) федерального уровней – 5 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4. Создание учителем условий для приобретения обучающимися позитивного социального опыта, формирования гражданской позиции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- 10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Реализация учащимися социально-значимых проектов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социально направленной деятельности (помощь пожилым людям, инвалидам, детям-сиротам, военно-патриотические мероприятия, волонтерское движение и т.д.);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проектах, направленных на благоустройство территории, улучшение качества окружающей среды и т.д. – от 0 до 4 б.</w:t>
            </w:r>
          </w:p>
          <w:p>
            <w:pPr>
              <w:pStyle w:val="Normal"/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Результаты реализации проекта на уровне: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образовательной организации –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муниципальном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региональном –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федеральном – 4 б.</w:t>
            </w:r>
          </w:p>
          <w:p>
            <w:pPr>
              <w:pStyle w:val="Normal"/>
              <w:ind w:left="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>
            <w:pPr>
              <w:pStyle w:val="Normal"/>
              <w:ind w:left="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Формы организации ученического самоуправления; результаты  активного участия обучающихся в самоуправлении класса, школы; взаимодействие школьного, ученического сообщества с местными властными структурами с целью решения тех или иных проблем местного социума – от 0 до 2 б.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учителем условий для адресной работы в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</w:t>
            </w:r>
          </w:p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- 10</w:t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Учет специальных образовательных потребностей и запросов различных категорий обучающихся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и использование учебных планов для различных категорий обучающихся (адаптированных, коррекционных, планов работ с одаренными детьми и др.) – 0-1 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Наличие и использование дистанционных способов взаимодействия учителя и обучающихся и их развитие (обучения с применением дистанционных образовательных технологий, электронного обучения) – 0-1 б.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Использование различных форм работы (групповая работа, индивидуальная работа, разноуровневое обучение и др.) в соответствии с возможностями и способностями обучающихся – 0-1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Число обучающихся, принявших участие в очных,  дистанционных  олимпиадах, различных Интернет-проектах для школьников (кроме Всероссийской олимпиады школьников), проводимых сторонними организациями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 –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межрегионального и (или) федерального уровней –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 Увеличение количества и повышение качества творческих работ различных категорий обучающихся по учебному предмету (проектов, исследований и др.) – 0-4 б.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- 10</w:t>
            </w:r>
          </w:p>
          <w:p>
            <w:pPr>
              <w:pStyle w:val="Normal"/>
              <w:spacing w:before="12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Использование современных образовательных технологий в процессе обучения предмету и в воспитательной работе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уровне методических приемов и педагогических техник –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уровне отдельных компонентов системы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уровне целостной системы – 3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 Использование общественно признанных цифровых образовательных ресурсов, методов фиксации и оценивания учебных достижений, контрольно-измерительных материалов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 –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регионального уровня – 2 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Количество Интернет-проектов, инициированных и реализованных учителем совместно с учащимися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 – от 1 б. до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 – от 3 б. до 4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межрегионального и (или) федерального уровней – 5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</w:tc>
      </w:tr>
      <w:tr>
        <w:trPr>
          <w:trHeight w:val="3318" w:hRule="atLeast"/>
        </w:trPr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b/>
                <w:b/>
                <w:bCs/>
              </w:rPr>
            </w:pPr>
            <w:r>
              <w:rPr>
                <w:bCs/>
                <w:sz w:val="24"/>
                <w:szCs w:val="24"/>
              </w:rPr>
              <w:t>7. Непрерывность профессионального развития учителя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Максимальное количество баллов – 10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Своевременность повышения квалификации и непрерывность профессионального развития (по годам – таблица) – 1 б.</w:t>
            </w:r>
          </w:p>
          <w:p>
            <w:pPr>
              <w:pStyle w:val="Normal"/>
              <w:ind w:left="27" w:hanging="0"/>
              <w:rPr>
                <w:highlight w:val="green"/>
              </w:rPr>
            </w:pPr>
            <w:r>
              <w:rPr>
                <w:sz w:val="24"/>
                <w:szCs w:val="24"/>
              </w:rPr>
              <w:t>7.2. Участие в конкурсах профессионального мастерства (оцениваться именно факт участия, а не победы):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 – 1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 – 2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уровня – 4 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(баллы не суммируются, оценивается по максимальному баллу в показателе)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 Работа в составе жюри (экспертных групп) конкурсов профессионального мастерства – 2 б.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5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3"/>
    <w:qFormat/>
    <w:pPr/>
    <w:rPr/>
  </w:style>
  <w:style w:type="paragraph" w:styleId="2">
    <w:name w:val="Heading 2"/>
    <w:basedOn w:val="Style13"/>
    <w:qFormat/>
    <w:pPr/>
    <w:rPr/>
  </w:style>
  <w:style w:type="paragraph" w:styleId="3">
    <w:name w:val="Heading 3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5"/>
    <w:qFormat/>
    <w:rsid w:val="00c205c9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8e7b5d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05c9"/>
    <w:pPr>
      <w:spacing w:before="0" w:after="0"/>
      <w:ind w:left="720" w:hanging="0"/>
      <w:contextualSpacing/>
    </w:pPr>
    <w:rPr/>
  </w:style>
  <w:style w:type="paragraph" w:styleId="Style18" w:customStyle="1">
    <w:name w:val="Таблицы (моноширинный)"/>
    <w:basedOn w:val="Normal"/>
    <w:qFormat/>
    <w:rsid w:val="00c205c9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Style19">
    <w:name w:val="Title"/>
    <w:basedOn w:val="Normal"/>
    <w:link w:val="a6"/>
    <w:qFormat/>
    <w:rsid w:val="00c205c9"/>
    <w:pPr>
      <w:spacing w:lineRule="auto" w:line="360"/>
      <w:jc w:val="center"/>
    </w:pPr>
    <w:rPr>
      <w:b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e7b5d"/>
    <w:pPr/>
    <w:rPr>
      <w:rFonts w:ascii="Tahoma" w:hAnsi="Tahoma" w:cs="Tahoma"/>
      <w:sz w:val="16"/>
      <w:szCs w:val="16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Subtitle"/>
    <w:basedOn w:val="Style1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LibreOffice/5.1.4.2$Linux_X86_64 LibreOffice_project/10m0$Build-2</Application>
  <Pages>3</Pages>
  <Words>916</Words>
  <Characters>6130</Characters>
  <CharactersWithSpaces>7033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2015-05-27T10:46:00Z</dcterms:created>
  <dc:creator>Ирина Борисовна</dc:creator>
  <dc:description/>
  <dc:language>ru-RU</dc:language>
  <cp:lastModifiedBy/>
  <cp:lastPrinted>2017-05-29T10:57:12Z</cp:lastPrinted>
  <dcterms:modified xsi:type="dcterms:W3CDTF">2017-05-29T10:57:54Z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