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Приложение 5 к Положению</w:t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Этапы и сроки проведения областного конкурса</w:t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>«Директор года ЕАО 2024» среди руководителей общеобразовательных организаций в 2024 году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 xml:space="preserve"> </w:t>
      </w:r>
    </w:p>
    <w:p>
      <w:pPr>
        <w:pStyle w:val="Normal"/>
        <w:widowControl w:val="false"/>
        <w:bidi w:val="0"/>
        <w:spacing w:lineRule="auto" w:line="240" w:before="0" w:after="0"/>
        <w:ind w:left="180" w:right="0" w:hanging="0"/>
        <w:jc w:val="center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widowControl w:val="false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b/>
          <w:b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4"/>
          <w:szCs w:val="24"/>
        </w:rPr>
      </w:r>
    </w:p>
    <w:tbl>
      <w:tblPr>
        <w:tblW w:w="9997" w:type="dxa"/>
        <w:jc w:val="left"/>
        <w:tblInd w:w="-431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83"/>
        <w:gridCol w:w="1724"/>
        <w:gridCol w:w="2061"/>
        <w:gridCol w:w="3019"/>
        <w:gridCol w:w="2210"/>
      </w:tblGrid>
      <w:tr>
        <w:trPr/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Этапы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Конкурсное испытание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Форма проведения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Результаты</w:t>
            </w:r>
          </w:p>
        </w:tc>
      </w:tr>
      <w:tr>
        <w:trPr/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Визитная карточка руководителя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Оценка профессиональных компетенций в области представления информации о деятельности образовательной организации в контексте профессионально-личностных установок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Видеоролик-презентация, размещенный на Интернет-ресурсе (блог, веб-страница ОО, видеохостинге и др.) участника и отражающий достижения участника конкурса в качестве директора образовательной организации, его основные управленческие принципы и подходы.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Технические требования к ролику: формат MP4 с разрешением – 1920х1080 HD 16:9, должен содержать информационную заставку с указанием наименования ОО, населённого пункта, ФИО конкурсанта,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продолжительностью 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не более 3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минут.</w:t>
            </w:r>
          </w:p>
        </w:tc>
        <w:tc>
          <w:tcPr>
            <w:tcW w:w="2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  <w:shd w:fill="auto" w:val="clear"/>
              </w:rPr>
              <w:t>Моя профессиональная позиция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auto" w:val="clear"/>
              </w:rPr>
              <w:t>Оценка знаний и практических умений конкурсанта в области продуктивной коммуникации на профессиональную тему.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auto" w:val="clear"/>
              </w:rPr>
              <w:t>Письменная работа в жанре публицистической статьи.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auto" w:val="clear"/>
              </w:rPr>
              <w:t>Тема определяется конкурсантом самостоятельно.</w:t>
            </w:r>
            <w:r>
              <w:rPr>
                <w:rFonts w:cs="Times New Roman" w:ascii="Times New Roman" w:hAnsi="Times New Roman"/>
                <w:color w:val="FF0000"/>
                <w:sz w:val="28"/>
                <w:szCs w:val="28"/>
                <w:shd w:fill="auto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auto" w:val="clear"/>
              </w:rPr>
              <w:t>Объем документа в формате MS Word не более 5 печатных страниц, оформленных следующим образом: формат – А4, поля: верхнее – 2 см, нижнее – 2 см, левое – 3 см, правое – 1,5 см, шрифт – Times New Roman, размер – 12, интервал – одинарный.</w:t>
            </w:r>
          </w:p>
        </w:tc>
        <w:tc>
          <w:tcPr>
            <w:tcW w:w="2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II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Формула успешного проекта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Оценка эффективности управленческого проекта.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Выступление на выбранную тему, содержанием которого является описание успешно реализованного в общеобразовательной организации под руководством конкурсанта управленческого проекта (проектов).</w:t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Style w:val="Strong"/>
                <w:caps w:val="false"/>
                <w:smallCaps w:val="false"/>
                <w:color w:val="47494F"/>
                <w:spacing w:val="0"/>
              </w:rPr>
              <w:t> 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Выступление может сопровождаться мультимедийной презентацией или другими средствами подачи информации.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Регламент: выступление – до 10 минут, ответы на вопросы жюри до 7 минут.</w:t>
            </w:r>
          </w:p>
        </w:tc>
        <w:tc>
          <w:tcPr>
            <w:tcW w:w="2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Проводится в очном формате с 01.04-05.04.2024.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По итогам второго этапа определяются победитель и лауреаты конкурса.</w:t>
            </w:r>
          </w:p>
        </w:tc>
      </w:tr>
      <w:tr>
        <w:trPr/>
        <w:tc>
          <w:tcPr>
            <w:tcW w:w="9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  <w:shd w:fill="FFFF00" w:val="clear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/>
            </w:pPr>
            <w:r>
              <w:rPr>
                <w:rStyle w:val="Strong"/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  <w:t>«Стратегическое решение»</w:t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non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47494F"/>
                <w:spacing w:val="0"/>
                <w:sz w:val="24"/>
                <w:szCs w:val="24"/>
                <w:u w:val="single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/>
            </w:pPr>
            <w:r>
              <w:rPr>
                <w:rStyle w:val="Strong"/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  <w:shd w:fill="auto" w:val="clear"/>
              </w:rPr>
              <w:t>«Мастер-класс»</w:t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hd w:fill="auto" w:val="clear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hd w:fill="auto" w:val="clear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  <w:shd w:fill="auto" w:val="clear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  <w:shd w:fill="auto" w:val="clear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  <w:shd w:fill="auto" w:val="clear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  <w:shd w:fill="auto" w:val="clear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cs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rFonts w:cs="Times New Roman"/>
                <w:b/>
                <w:i w:val="false"/>
                <w:caps w:val="false"/>
                <w:smallCaps w:val="false"/>
                <w:color w:val="000000"/>
                <w:spacing w:val="0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Пресс-конференция «Вопрос руководителю года»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Демонстрация компетенций в области стратегического проектирования и эффективности взаимодействия с управленческим составом своей общеобразовательной организации.</w:t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47494F"/>
                <w:spacing w:val="0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47494F"/>
                <w:spacing w:val="0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Демонстрация профессионального мастерства в области трансляции управленческого опыта в ситуации профессионального взаимодействия.</w:t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spacing w:val="0"/>
                <w:sz w:val="24"/>
                <w:szCs w:val="24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5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Демонстрация способности конкурсантов к конструктивному диалогу со всеми участниками образовательных отношений и представителями общественности по актуальным вопросам развития образования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Style15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Разработка конкурсантами совместно с управленческим составом своей школы проекта/стартапа на основе материалов, представленных в кейсе. Работа над проектом/стартапом осуществляется конкурсантом и управленческим составом его школы в режиме видео-конференц-связи. Презентацию проекта конкурсант проводит индивидуально.</w:t>
            </w:r>
          </w:p>
          <w:p>
            <w:pPr>
              <w:pStyle w:val="Style15"/>
              <w:widowControl w:val="false"/>
              <w:bidi w:val="0"/>
              <w:jc w:val="left"/>
              <w:rPr/>
            </w:pPr>
            <w:r>
              <w:rPr/>
              <w:br/>
            </w:r>
            <w:r>
              <w:rPr>
                <w:rFonts w:cs="Times New Roman" w:ascii="Times New Roman" w:hAnsi="Times New Roman"/>
                <w:sz w:val="24"/>
                <w:szCs w:val="24"/>
              </w:rPr>
              <w:t>В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ыступление, демонстрирующее способы профессиональной деятельности в области реализации государственной образовательной политики, доказавшие свою эффективность в практической работе конкурсанта.</w:t>
            </w:r>
          </w:p>
          <w:p>
            <w:pPr>
              <w:pStyle w:val="Style15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Style15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Пресс-конференция, в ходе которой конкурсанты отвечают на вопросы родительской, ученической, педагогической общественности, деятелей науки, культуры и т.д.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Последовательность вопросов и ответов регламентируется модератором. Все участники отвечают на равное количество вопросов.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Регламент – 60 минут.</w:t>
            </w:r>
          </w:p>
        </w:tc>
        <w:tc>
          <w:tcPr>
            <w:tcW w:w="2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spacing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Mangal"/>
      <w:color w:val="auto"/>
      <w:kern w:val="2"/>
      <w:sz w:val="24"/>
      <w:szCs w:val="24"/>
      <w:lang w:val="ru-RU" w:eastAsia="zh-CN" w:bidi="hi-IN"/>
    </w:rPr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366</Words>
  <Characters>2921</Characters>
  <CharactersWithSpaces>3267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2024-02-13T16:00:36Z</dcterms:created>
  <dc:creator/>
  <dc:description/>
  <dc:language>ru-RU</dc:language>
  <cp:lastModifiedBy/>
  <dcterms:modified xsi:type="dcterms:W3CDTF">2024-02-13T16:01:04Z</dcterms:modified>
  <cp:revision>1</cp:revision>
  <dc:subject/>
  <dc:title/>
</cp:coreProperties>
</file>